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30"/>
          <w:szCs w:val="30"/>
        </w:rPr>
      </w:pPr>
      <w:bookmarkStart w:colFirst="0" w:colLast="0" w:name="_heading=h.nwh6jonrh0wh" w:id="0"/>
      <w:bookmarkEnd w:id="0"/>
      <w:r w:rsidDel="00000000" w:rsidR="00000000" w:rsidRPr="00000000">
        <w:rPr>
          <w:sz w:val="30"/>
          <w:szCs w:val="30"/>
          <w:rtl w:val="0"/>
        </w:rPr>
        <w:t xml:space="preserve">Course landing page</w:t>
      </w:r>
      <w:r w:rsidDel="00000000" w:rsidR="00000000" w:rsidRPr="00000000">
        <w:rPr>
          <w:rtl w:val="0"/>
        </w:rPr>
      </w:r>
    </w:p>
    <w:p w:rsidR="00000000" w:rsidDel="00000000" w:rsidP="00000000" w:rsidRDefault="00000000" w:rsidRPr="00000000" w14:paraId="000000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jc w:val="center"/>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Place content in associated fields. </w:t>
      </w:r>
      <w:r w:rsidDel="00000000" w:rsidR="00000000" w:rsidRPr="00000000">
        <w:rPr>
          <w:rFonts w:ascii="Helvetica Neue" w:cs="Helvetica Neue" w:eastAsia="Helvetica Neue" w:hAnsi="Helvetica Neue"/>
          <w:b w:val="1"/>
          <w:sz w:val="22"/>
          <w:szCs w:val="22"/>
          <w:rtl w:val="0"/>
        </w:rPr>
        <w:t xml:space="preserve">Make headers h4s</w:t>
      </w:r>
      <w:r w:rsidDel="00000000" w:rsidR="00000000" w:rsidRPr="00000000">
        <w:rPr>
          <w:rFonts w:ascii="Helvetica Neue" w:cs="Helvetica Neue" w:eastAsia="Helvetica Neue" w:hAnsi="Helvetica Neue"/>
          <w:sz w:val="22"/>
          <w:szCs w:val="22"/>
          <w:rtl w:val="0"/>
        </w:rPr>
        <w:t xml:space="preserve">:</w:t>
      </w:r>
    </w:p>
    <w:p w:rsidR="00000000" w:rsidDel="00000000" w:rsidP="00000000" w:rsidRDefault="00000000" w:rsidRPr="00000000" w14:paraId="000000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14:paraId="000000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Program description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Context</w:t>
            </w:r>
          </w:p>
          <w:p w:rsidR="00000000" w:rsidDel="00000000" w:rsidP="00000000" w:rsidRDefault="00000000" w:rsidRPr="00000000" w14:paraId="00000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Pediatric differentiated thyroid cancer (DTC) patients frequently present with lymph node and/or distant (lung) metastases. Such patients warrant an aggressive treatment consisting of surgical removal of all surgically accessible local metastases as well as further treatment with one or more courses of radioiodine therapy (RAI). It is still a subject of debate in literature how much I-131 should be administered to pediatric patients. Patients can either be given a fixed (possibly body weight adjusted) activity or a dosimetry based activity, which is often considerably higher.</w:t>
            </w:r>
          </w:p>
          <w:p w:rsidR="00000000" w:rsidDel="00000000" w:rsidP="00000000" w:rsidRDefault="00000000" w:rsidRPr="00000000" w14:paraId="0000000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Objective</w:t>
            </w:r>
          </w:p>
          <w:p w:rsidR="00000000" w:rsidDel="00000000" w:rsidP="00000000" w:rsidRDefault="00000000" w:rsidRPr="00000000" w14:paraId="000000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Here, we will present a typical case of a pediatric patient who was treated using a dosimetric approach. Then we will discuss the basis of dosimetry and the procedures involved, followed by a discussion of when to use dosimetric RAI as well as the pros and cons of the various approaches in pediatric patients.</w:t>
            </w:r>
          </w:p>
          <w:p w:rsidR="00000000" w:rsidDel="00000000" w:rsidP="00000000" w:rsidRDefault="00000000" w:rsidRPr="00000000" w14:paraId="000000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Results</w:t>
            </w:r>
          </w:p>
          <w:p w:rsidR="00000000" w:rsidDel="00000000" w:rsidP="00000000" w:rsidRDefault="00000000" w:rsidRPr="00000000" w14:paraId="000000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In general, two opposite approaches to dosimetry exist: either the activity that is as high as safely administrable (AHASA) is determined based on the radiation exposure to the critical organs at risk (in pediatric patients these are the bone marrow and, in patients with lung metastases, the lungs), or a lesion-based approach in which the activity that is required to deliver a certain radiation dose to the metastatic lesion(s) is determined.</w:t>
            </w:r>
          </w:p>
          <w:p w:rsidR="00000000" w:rsidDel="00000000" w:rsidP="00000000" w:rsidRDefault="00000000" w:rsidRPr="00000000" w14:paraId="000000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Conclusion</w:t>
            </w:r>
          </w:p>
          <w:p w:rsidR="00000000" w:rsidDel="00000000" w:rsidP="00000000" w:rsidRDefault="00000000" w:rsidRPr="00000000" w14:paraId="000000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Because the latter approach requires an accurate volumetry of the target lesion(s), which is not possible in children with disseminated pulmonary metastases, which are often not visible with morphologic imaging techniques, we advocate using the AHASA approach in children with extensive metastatic DTC.</w:t>
            </w:r>
          </w:p>
          <w:p w:rsidR="00000000" w:rsidDel="00000000" w:rsidP="00000000" w:rsidRDefault="00000000" w:rsidRPr="00000000" w14:paraId="000000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Frederik A. Verburg, Christoph Reiners, and Heribert Hänscheid</w:t>
            </w:r>
          </w:p>
          <w:p w:rsidR="00000000" w:rsidDel="00000000" w:rsidP="00000000" w:rsidRDefault="00000000" w:rsidRPr="00000000" w14:paraId="00000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DOI: http://dx.doi.org/10.1210/jc.2013-2259</w:t>
            </w:r>
          </w:p>
          <w:p w:rsidR="00000000" w:rsidDel="00000000" w:rsidP="00000000" w:rsidRDefault="00000000" w:rsidRPr="00000000" w14:paraId="000000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Received: May 16, 2013</w:t>
            </w:r>
          </w:p>
          <w:p w:rsidR="00000000" w:rsidDel="00000000" w:rsidP="00000000" w:rsidRDefault="00000000" w:rsidRPr="00000000" w14:paraId="000000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Accepted: July 19, 2013</w:t>
            </w:r>
          </w:p>
          <w:p w:rsidR="00000000" w:rsidDel="00000000" w:rsidP="00000000" w:rsidRDefault="00000000" w:rsidRPr="00000000" w14:paraId="000000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Published Online: December 04, 2013</w:t>
            </w:r>
          </w:p>
        </w:tc>
      </w:tr>
      <w:tr>
        <w:tc>
          <w:tcPr>
            <w:shd w:fill="d9d9d9"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Target Audience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Endocrinologists/Pediatric  Endocrinologists</w:t>
            </w:r>
          </w:p>
          <w:p w:rsidR="00000000" w:rsidDel="00000000" w:rsidP="00000000" w:rsidRDefault="00000000" w:rsidRPr="00000000" w14:paraId="000000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Radiologists</w:t>
            </w:r>
          </w:p>
        </w:tc>
      </w:tr>
      <w:tr>
        <w:tc>
          <w:tcPr>
            <w:shd w:fill="d9d9d9" w:val="clear"/>
            <w:tcMar>
              <w:top w:w="100.0" w:type="dxa"/>
              <w:left w:w="100.0" w:type="dxa"/>
              <w:bottom w:w="100.0" w:type="dxa"/>
              <w:right w:w="100.0" w:type="dxa"/>
            </w:tcMar>
            <w:vAlign w:val="top"/>
          </w:tcPr>
          <w:p w:rsidR="00000000" w:rsidDel="00000000" w:rsidP="00000000" w:rsidRDefault="00000000" w:rsidRPr="00000000" w14:paraId="000000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Learning Objectives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Have an understanding of different approaches to dosimetry of radioiodine therapy</w:t>
            </w:r>
          </w:p>
          <w:p w:rsidR="00000000" w:rsidDel="00000000" w:rsidP="00000000" w:rsidRDefault="00000000" w:rsidRPr="00000000" w14:paraId="00000020">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Determine best approach for treating patient</w:t>
            </w:r>
          </w:p>
        </w:tc>
      </w:tr>
      <w:tr>
        <w:tc>
          <w:tcPr>
            <w:shd w:fill="d9d9d9" w:val="clear"/>
            <w:tcMar>
              <w:top w:w="100.0" w:type="dxa"/>
              <w:left w:w="100.0" w:type="dxa"/>
              <w:bottom w:w="100.0" w:type="dxa"/>
              <w:right w:w="100.0" w:type="dxa"/>
            </w:tcMar>
            <w:vAlign w:val="top"/>
          </w:tcPr>
          <w:p w:rsidR="00000000" w:rsidDel="00000000" w:rsidP="00000000" w:rsidRDefault="00000000" w:rsidRPr="00000000" w14:paraId="000000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0" w:firstLine="0"/>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Accreditation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(NAME OF YOUR ORGANIZATION) is accredited by the Accreditation Council for Continuing Medical Education (ACCME) to provide continuing medical education for physicians.</w:t>
            </w:r>
          </w:p>
        </w:tc>
      </w:tr>
      <w:tr>
        <w:tc>
          <w:tcPr>
            <w:shd w:fill="d9d9d9" w:val="clear"/>
            <w:tcMar>
              <w:top w:w="100.0" w:type="dxa"/>
              <w:left w:w="100.0" w:type="dxa"/>
              <w:bottom w:w="100.0" w:type="dxa"/>
              <w:right w:w="100.0" w:type="dxa"/>
            </w:tcMar>
            <w:vAlign w:val="top"/>
          </w:tcPr>
          <w:p w:rsidR="00000000" w:rsidDel="00000000" w:rsidP="00000000" w:rsidRDefault="00000000" w:rsidRPr="00000000" w14:paraId="0000002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Faculty and Disclosure (BOLD FACULTY NAMES)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Authors, editors, and Endocrine Society staff involved in planning this JCEM Journal-based CME activity are required to disclose to The Endocrine Society and to learners any relevant financial relationship(s) of the individual or spouse/partner that have occurred within the last 12 months with any commercial interest(s) whose products or services are discussed in the CME content. The Endocrine Society has reviewed all disclosures and resolved all identified conflicts of interest.</w:t>
            </w:r>
          </w:p>
          <w:p w:rsidR="00000000" w:rsidDel="00000000" w:rsidP="00000000" w:rsidRDefault="00000000" w:rsidRPr="00000000" w14:paraId="000000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following authors reported relevant financial relationships:</w:t>
            </w:r>
          </w:p>
          <w:p w:rsidR="00000000" w:rsidDel="00000000" w:rsidP="00000000" w:rsidRDefault="00000000" w:rsidRPr="00000000" w14:paraId="000000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Frederik A. Verburg, M.D., Ph.D., has received speakers' fees and research support from Genzyme Corp. and is a paid member of an advisory board for Roche Healthcare. Christoph Reiners, M.D., has received speakers' fees and research support from Genzyme Corp.</w:t>
            </w:r>
          </w:p>
          <w:p w:rsidR="00000000" w:rsidDel="00000000" w:rsidP="00000000" w:rsidRDefault="00000000" w:rsidRPr="00000000" w14:paraId="000000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following author reported no relevant financial relationships:</w:t>
            </w:r>
          </w:p>
          <w:p w:rsidR="00000000" w:rsidDel="00000000" w:rsidP="00000000" w:rsidRDefault="00000000" w:rsidRPr="00000000" w14:paraId="000000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Heribert Hänscheid, M.D., has no relevant financial relationships.</w:t>
            </w:r>
          </w:p>
          <w:p w:rsidR="00000000" w:rsidDel="00000000" w:rsidP="00000000" w:rsidRDefault="00000000" w:rsidRPr="00000000" w14:paraId="000000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following JCEM Editors reported relevant financial relationships:</w:t>
            </w:r>
          </w:p>
          <w:p w:rsidR="00000000" w:rsidDel="00000000" w:rsidP="00000000" w:rsidRDefault="00000000" w:rsidRPr="00000000" w14:paraId="000000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Editor-in-Chief, Leonard Wartofsky, M.D., is a Consultant for Asurogen, Genzyme, and IBSA, and is on the Speaker's Bureau for Genzyme. </w:t>
            </w:r>
          </w:p>
          <w:p w:rsidR="00000000" w:rsidDel="00000000" w:rsidP="00000000" w:rsidRDefault="00000000" w:rsidRPr="00000000" w14:paraId="000000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Kenneth Burman, M.D., is a Consultant for Medscape and UpToDate; a Reviewer for the Endocrine Fellows Foundation; and has received Institutional Grants for Research from Amgen, Eisei, and Pfizer. </w:t>
            </w:r>
          </w:p>
          <w:p w:rsidR="00000000" w:rsidDel="00000000" w:rsidP="00000000" w:rsidRDefault="00000000" w:rsidRPr="00000000" w14:paraId="000000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Lynnette Nieman, M.D., is an Author/Editor for UpToDate, and receives Research Support from HRA-Pharmaceutical.</w:t>
            </w:r>
          </w:p>
          <w:p w:rsidR="00000000" w:rsidDel="00000000" w:rsidP="00000000" w:rsidRDefault="00000000" w:rsidRPr="00000000" w14:paraId="000000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following JCEM Editors reported no relevant financial relationships: Paolo Beck-Peccoz, M.D.; David Ehrmann, M.D.; David Handelsman, Ph.D.; Michael Kleerekoper, M.D.; Merrily Poth, M.D.; Constantine Stratakis, M.D.</w:t>
            </w:r>
          </w:p>
          <w:p w:rsidR="00000000" w:rsidDel="00000000" w:rsidP="00000000" w:rsidRDefault="00000000" w:rsidRPr="00000000" w14:paraId="000000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Endocrine Society staff associated with the development of content for this activity reported no relevant financial relationships.</w:t>
            </w:r>
          </w:p>
          <w:p w:rsidR="00000000" w:rsidDel="00000000" w:rsidP="00000000" w:rsidRDefault="00000000" w:rsidRPr="00000000" w14:paraId="000000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Acknowledgement of Commercial Support</w:t>
            </w:r>
          </w:p>
          <w:p w:rsidR="00000000" w:rsidDel="00000000" w:rsidP="00000000" w:rsidRDefault="00000000" w:rsidRPr="00000000" w14:paraId="000000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p w:rsidR="00000000" w:rsidDel="00000000" w:rsidP="00000000" w:rsidRDefault="00000000" w:rsidRPr="00000000" w14:paraId="0000003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JCEM Journal-based CME activities are not supported by grants, other funds, or in-kind contributions from commercial supporters.</w:t>
            </w:r>
          </w:p>
        </w:tc>
      </w:tr>
      <w:tr>
        <w:tc>
          <w:tcPr>
            <w:shd w:fill="d9d9d9" w:val="clear"/>
            <w:tcMar>
              <w:top w:w="100.0" w:type="dxa"/>
              <w:left w:w="100.0" w:type="dxa"/>
              <w:bottom w:w="100.0" w:type="dxa"/>
              <w:right w:w="100.0" w:type="dxa"/>
            </w:tcMar>
            <w:vAlign w:val="top"/>
          </w:tcPr>
          <w:p w:rsidR="00000000" w:rsidDel="00000000" w:rsidP="00000000" w:rsidRDefault="00000000" w:rsidRPr="00000000" w14:paraId="000000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Venue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With a state-of-the-art Convention Center located in the heart of the city (boasting the largest ballroom on the East Coast), plus world-class shopping, nightlife, culture, dining and thousands of hotel rooms all within a few blocks, there is nothing missing in this modern metropolis.</w:t>
            </w:r>
          </w:p>
          <w:p w:rsidR="00000000" w:rsidDel="00000000" w:rsidP="00000000" w:rsidRDefault="00000000" w:rsidRPr="00000000" w14:paraId="000000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Add in the city’s excellent off-site venues and our award-winning hospitality industry, and you’ll see that the list of all Philadelphia has to offer within a compact, walkable downtown is as long as our history.</w:t>
            </w:r>
          </w:p>
          <w:p w:rsidR="00000000" w:rsidDel="00000000" w:rsidP="00000000" w:rsidRDefault="00000000" w:rsidRPr="00000000" w14:paraId="000000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The second-largest city on the East Coast and fifth largest in the United States, Philadelphia is within 200 miles of 46 million people. It’s the cradle of liberty, a city of medical firsts and the only World Heritage City in the nation. It’s home to James Beard Award-winning chefs, was named one of the most walkable cities in the nation and lies less than 2 hours from New York City and Washington, D.C., by Amtrak.</w:t>
            </w:r>
          </w:p>
          <w:p w:rsidR="00000000" w:rsidDel="00000000" w:rsidP="00000000" w:rsidRDefault="00000000" w:rsidRPr="00000000" w14:paraId="00000041">
            <w:pPr>
              <w:pStyle w:val="Heading3"/>
              <w:keepNext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before="280" w:line="276" w:lineRule="auto"/>
              <w:rPr>
                <w:rFonts w:ascii="Helvetica Neue" w:cs="Helvetica Neue" w:eastAsia="Helvetica Neue" w:hAnsi="Helvetica Neue"/>
                <w:sz w:val="22"/>
                <w:szCs w:val="22"/>
              </w:rPr>
            </w:pPr>
            <w:bookmarkStart w:colFirst="0" w:colLast="0" w:name="_heading=h.gjdgxs" w:id="1"/>
            <w:bookmarkEnd w:id="1"/>
            <w:r w:rsidDel="00000000" w:rsidR="00000000" w:rsidRPr="00000000">
              <w:rPr>
                <w:rFonts w:ascii="Helvetica Neue" w:cs="Helvetica Neue" w:eastAsia="Helvetica Neue" w:hAnsi="Helvetica Neue"/>
                <w:sz w:val="22"/>
                <w:szCs w:val="22"/>
                <w:rtl w:val="0"/>
              </w:rPr>
              <w:t xml:space="preserve">Lowe's Philadelphia</w:t>
            </w:r>
          </w:p>
          <w:p w:rsidR="00000000" w:rsidDel="00000000" w:rsidP="00000000" w:rsidRDefault="00000000" w:rsidRPr="00000000" w14:paraId="000000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Located in the nation’s first skyscraper, Loews Philadelphia Hotel combines living history with warm sophistication—just like the city we call home.</w:t>
            </w:r>
          </w:p>
          <w:p w:rsidR="00000000" w:rsidDel="00000000" w:rsidP="00000000" w:rsidRDefault="00000000" w:rsidRPr="00000000" w14:paraId="00000043">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581 guestrooms, including 12 suites and 54 Club Rooms</w:t>
            </w:r>
          </w:p>
          <w:p w:rsidR="00000000" w:rsidDel="00000000" w:rsidP="00000000" w:rsidRDefault="00000000" w:rsidRPr="00000000" w14:paraId="00000044">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47,000 square feet of indoor function space, with three ballrooms</w:t>
            </w:r>
          </w:p>
          <w:p w:rsidR="00000000" w:rsidDel="00000000" w:rsidP="00000000" w:rsidRDefault="00000000" w:rsidRPr="00000000" w14:paraId="00000045">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Located in the heart of Center City, close to the Liberty Bell</w:t>
            </w:r>
          </w:p>
          <w:p w:rsidR="00000000" w:rsidDel="00000000" w:rsidP="00000000" w:rsidRDefault="00000000" w:rsidRPr="00000000" w14:paraId="00000046">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Located near the Pennsylvania Convention Center</w:t>
            </w:r>
          </w:p>
          <w:p w:rsidR="00000000" w:rsidDel="00000000" w:rsidP="00000000" w:rsidRDefault="00000000" w:rsidRPr="00000000" w14:paraId="00000047">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Bank &amp; Bourbon restaurant serves traditional American fare with a modern twist</w:t>
            </w:r>
          </w:p>
          <w:p w:rsidR="00000000" w:rsidDel="00000000" w:rsidP="00000000" w:rsidRDefault="00000000" w:rsidRPr="00000000" w14:paraId="00000048">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Pool on site</w:t>
            </w:r>
          </w:p>
          <w:p w:rsidR="00000000" w:rsidDel="00000000" w:rsidP="00000000" w:rsidRDefault="00000000" w:rsidRPr="00000000" w14:paraId="00000049">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Complimentary Wi-Fi in every guest room—and in public spaces</w:t>
            </w:r>
          </w:p>
        </w:tc>
      </w:tr>
      <w:tr>
        <w:tc>
          <w:tcPr>
            <w:shd w:fill="d9d9d9" w:val="clear"/>
            <w:tcMar>
              <w:top w:w="100.0" w:type="dxa"/>
              <w:left w:w="100.0" w:type="dxa"/>
              <w:bottom w:w="100.0" w:type="dxa"/>
              <w:right w:w="100.0" w:type="dxa"/>
            </w:tcMar>
            <w:vAlign w:val="top"/>
          </w:tcPr>
          <w:p w:rsidR="00000000" w:rsidDel="00000000" w:rsidP="00000000" w:rsidRDefault="00000000" w:rsidRPr="00000000" w14:paraId="000000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Travel Information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Please call Advantage Travel at 215-555-1212 and ask for the conference travel planner.</w:t>
            </w:r>
          </w:p>
        </w:tc>
      </w:tr>
      <w:tr>
        <w:tc>
          <w:tcPr>
            <w:shd w:fill="d9d9d9" w:val="clear"/>
            <w:tcMar>
              <w:top w:w="100.0" w:type="dxa"/>
              <w:left w:w="100.0" w:type="dxa"/>
              <w:bottom w:w="100.0" w:type="dxa"/>
              <w:right w:w="100.0" w:type="dxa"/>
            </w:tcMar>
            <w:vAlign w:val="top"/>
          </w:tcPr>
          <w:p w:rsidR="00000000" w:rsidDel="00000000" w:rsidP="00000000" w:rsidRDefault="00000000" w:rsidRPr="00000000" w14:paraId="000000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Course Instructions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In order to be awarded and credit and a certificate learners must:</w:t>
            </w:r>
          </w:p>
          <w:p w:rsidR="00000000" w:rsidDel="00000000" w:rsidP="00000000" w:rsidRDefault="00000000" w:rsidRPr="00000000" w14:paraId="0000004E">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Must complete all the required course objects</w:t>
            </w:r>
          </w:p>
          <w:p w:rsidR="00000000" w:rsidDel="00000000" w:rsidP="00000000" w:rsidRDefault="00000000" w:rsidRPr="00000000" w14:paraId="0000004F">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ind w:left="720" w:hanging="360"/>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Must receive a 70% on the post test</w:t>
            </w:r>
          </w:p>
        </w:tc>
      </w:tr>
      <w:tr>
        <w:tc>
          <w:tcPr>
            <w:shd w:fill="d9d9d9" w:val="clear"/>
            <w:tcMar>
              <w:top w:w="100.0" w:type="dxa"/>
              <w:left w:w="100.0" w:type="dxa"/>
              <w:bottom w:w="100.0" w:type="dxa"/>
              <w:right w:w="100.0" w:type="dxa"/>
            </w:tcMar>
            <w:vAlign w:val="top"/>
          </w:tcPr>
          <w:p w:rsidR="00000000" w:rsidDel="00000000" w:rsidP="00000000" w:rsidRDefault="00000000" w:rsidRPr="00000000" w14:paraId="000000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b w:val="1"/>
                <w:sz w:val="22"/>
                <w:szCs w:val="22"/>
              </w:rPr>
            </w:pPr>
            <w:r w:rsidDel="00000000" w:rsidR="00000000" w:rsidRPr="00000000">
              <w:rPr>
                <w:rFonts w:ascii="Helvetica Neue" w:cs="Helvetica Neue" w:eastAsia="Helvetica Neue" w:hAnsi="Helvetica Neue"/>
                <w:b w:val="1"/>
                <w:sz w:val="22"/>
                <w:szCs w:val="22"/>
                <w:rtl w:val="0"/>
              </w:rPr>
              <w:t xml:space="preserve">Course Completion Message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Fonts w:ascii="Helvetica Neue" w:cs="Helvetica Neue" w:eastAsia="Helvetica Neue" w:hAnsi="Helvetica Neue"/>
                <w:sz w:val="22"/>
                <w:szCs w:val="22"/>
                <w:rtl w:val="0"/>
              </w:rPr>
              <w:t xml:space="preserve">Congratulations! You have completed this activity.</w:t>
            </w:r>
          </w:p>
        </w:tc>
      </w:tr>
    </w:tbl>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Helvetica Neue" w:cs="Helvetica Neue" w:eastAsia="Helvetica Neue" w:hAnsi="Helvetica Neue"/>
          <w:sz w:val="22"/>
          <w:szCs w:val="22"/>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spacing w:after="60" w:before="240" w:lineRule="auto"/>
    </w:pPr>
    <w:rPr>
      <w:b w:val="1"/>
      <w:smallCaps w:val="0"/>
      <w:sz w:val="28"/>
      <w:szCs w:val="28"/>
    </w:rPr>
  </w:style>
  <w:style w:type="paragraph" w:styleId="Heading5">
    <w:name w:val="heading 5"/>
    <w:basedOn w:val="Normal"/>
    <w:next w:val="Normal"/>
    <w:pPr>
      <w:spacing w:after="60" w:before="240" w:lineRule="auto"/>
    </w:pPr>
    <w:rPr>
      <w:b w:val="1"/>
      <w:i w:val="1"/>
      <w:smallCaps w:val="0"/>
      <w:sz w:val="26"/>
      <w:szCs w:val="26"/>
    </w:rPr>
  </w:style>
  <w:style w:type="paragraph" w:styleId="Heading6">
    <w:name w:val="heading 6"/>
    <w:basedOn w:val="Normal"/>
    <w:next w:val="Normal"/>
    <w:pPr>
      <w:spacing w:after="60" w:before="240" w:lineRule="auto"/>
    </w:pPr>
    <w:rPr>
      <w:b w:val="1"/>
      <w:smallCaps w:val="0"/>
      <w:sz w:val="22"/>
      <w:szCs w:val="22"/>
    </w:rPr>
  </w:style>
  <w:style w:type="paragraph" w:styleId="Title">
    <w:name w:val="Title"/>
    <w:basedOn w:val="Normal"/>
    <w:next w:val="Normal"/>
    <w:pPr>
      <w:spacing w:after="60" w:before="240" w:lineRule="auto"/>
      <w:jc w:val="center"/>
    </w:pPr>
    <w:rPr>
      <w:rFonts w:ascii="Arial" w:cs="Arial" w:eastAsia="Arial" w:hAnsi="Arial"/>
      <w:b w:val="1"/>
      <w:smallCaps w:val="0"/>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spacing w:after="60" w:before="240" w:lineRule="auto"/>
    </w:pPr>
    <w:rPr>
      <w:b w:val="1"/>
      <w:smallCaps w:val="0"/>
      <w:sz w:val="28"/>
      <w:szCs w:val="28"/>
    </w:rPr>
  </w:style>
  <w:style w:type="paragraph" w:styleId="Heading5">
    <w:name w:val="heading 5"/>
    <w:basedOn w:val="Normal"/>
    <w:next w:val="Normal"/>
    <w:pPr>
      <w:spacing w:after="60" w:before="240" w:lineRule="auto"/>
    </w:pPr>
    <w:rPr>
      <w:b w:val="1"/>
      <w:i w:val="1"/>
      <w:smallCaps w:val="0"/>
      <w:sz w:val="26"/>
      <w:szCs w:val="26"/>
    </w:rPr>
  </w:style>
  <w:style w:type="paragraph" w:styleId="Heading6">
    <w:name w:val="heading 6"/>
    <w:basedOn w:val="Normal"/>
    <w:next w:val="Normal"/>
    <w:pPr>
      <w:spacing w:after="60" w:before="240" w:lineRule="auto"/>
    </w:pPr>
    <w:rPr>
      <w:b w:val="1"/>
      <w:smallCaps w:val="0"/>
      <w:sz w:val="22"/>
      <w:szCs w:val="22"/>
    </w:rPr>
  </w:style>
  <w:style w:type="paragraph" w:styleId="Title">
    <w:name w:val="Title"/>
    <w:basedOn w:val="Normal"/>
    <w:next w:val="Normal"/>
    <w:pP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spacing w:after="60" w:lineRule="auto"/>
      <w:jc w:val="center"/>
    </w:pPr>
    <w:rPr>
      <w:rFonts w:ascii="Arial" w:cs="Arial" w:eastAsia="Arial" w:hAnsi="Arial"/>
      <w:smallCaps w:val="0"/>
    </w:rPr>
  </w:style>
  <w:style w:type="paragraph" w:styleId="Subtitle">
    <w:name w:val="Subtitle"/>
    <w:basedOn w:val="Normal"/>
    <w:next w:val="Normal"/>
    <w:pPr>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3YI0p9EG8CBwbKprmz763p+wDQ==">AMUW2mUdYduIrIAiBBRa8FmZYcSHVNbAcjccmlMM8ppNpymps8pYJ1CmU8WSMelHCh1gQQsYAMJSelAtBudMSsedh3QCKIXV1CPk92XAi3yzVOV1vQXejgECNdoNHM/4UINjCnAXkiVlgvklD2UbtY2+BjHjWBPRqg==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